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D0D2" w14:textId="77777777" w:rsidR="008A1A8A" w:rsidRDefault="008A1A8A" w:rsidP="008A1A8A">
      <w:pPr>
        <w:tabs>
          <w:tab w:val="left" w:pos="360"/>
          <w:tab w:val="left" w:pos="900"/>
          <w:tab w:val="left" w:pos="1260"/>
        </w:tabs>
        <w:jc w:val="center"/>
        <w:rPr>
          <w:b/>
          <w:bCs/>
          <w:sz w:val="28"/>
          <w:szCs w:val="28"/>
        </w:rPr>
      </w:pPr>
      <w:r w:rsidRPr="00570886">
        <w:rPr>
          <w:b/>
          <w:bCs/>
          <w:sz w:val="28"/>
          <w:szCs w:val="28"/>
        </w:rPr>
        <w:t>Перечень курсовых работ по дисциплине</w:t>
      </w:r>
    </w:p>
    <w:p w14:paraId="2E0606B2" w14:textId="77777777" w:rsidR="008A1A8A" w:rsidRDefault="008A1A8A" w:rsidP="008A1A8A">
      <w:pPr>
        <w:tabs>
          <w:tab w:val="left" w:pos="360"/>
          <w:tab w:val="left" w:pos="900"/>
          <w:tab w:val="left" w:pos="1260"/>
        </w:tabs>
        <w:jc w:val="center"/>
        <w:rPr>
          <w:b/>
          <w:bCs/>
          <w:sz w:val="28"/>
          <w:szCs w:val="28"/>
        </w:rPr>
      </w:pPr>
      <w:r w:rsidRPr="005708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70886">
        <w:rPr>
          <w:b/>
          <w:bCs/>
          <w:sz w:val="28"/>
          <w:szCs w:val="28"/>
        </w:rPr>
        <w:t>Конституционное право России</w:t>
      </w:r>
      <w:r>
        <w:rPr>
          <w:b/>
          <w:bCs/>
          <w:sz w:val="28"/>
          <w:szCs w:val="28"/>
        </w:rPr>
        <w:t>»</w:t>
      </w:r>
    </w:p>
    <w:p w14:paraId="383B9EA0" w14:textId="77777777" w:rsidR="008A1A8A" w:rsidRDefault="008A1A8A" w:rsidP="008A1A8A">
      <w:pPr>
        <w:tabs>
          <w:tab w:val="left" w:pos="360"/>
          <w:tab w:val="left" w:pos="900"/>
          <w:tab w:val="left" w:pos="1260"/>
        </w:tabs>
        <w:jc w:val="center"/>
        <w:rPr>
          <w:b/>
          <w:bCs/>
          <w:sz w:val="28"/>
          <w:szCs w:val="28"/>
          <w:vertAlign w:val="superscript"/>
        </w:rPr>
      </w:pPr>
    </w:p>
    <w:p w14:paraId="6241304C" w14:textId="77777777" w:rsidR="008A1A8A" w:rsidRPr="003B13ED" w:rsidRDefault="008A1A8A" w:rsidP="008A1A8A">
      <w:pPr>
        <w:pStyle w:val="22"/>
        <w:numPr>
          <w:ilvl w:val="0"/>
          <w:numId w:val="12"/>
        </w:numPr>
        <w:shd w:val="clear" w:color="auto" w:fill="auto"/>
        <w:tabs>
          <w:tab w:val="clear" w:pos="360"/>
          <w:tab w:val="left" w:pos="709"/>
        </w:tabs>
        <w:spacing w:line="240" w:lineRule="auto"/>
        <w:ind w:left="0" w:firstLine="0"/>
        <w:jc w:val="both"/>
        <w:rPr>
          <w:sz w:val="28"/>
          <w:szCs w:val="28"/>
        </w:rPr>
      </w:pPr>
      <w:r w:rsidRPr="00A2278F">
        <w:rPr>
          <w:rStyle w:val="21"/>
          <w:color w:val="000000"/>
          <w:sz w:val="28"/>
          <w:szCs w:val="28"/>
        </w:rPr>
        <w:t>Конституция в XXI веке: сравнительно</w:t>
      </w:r>
      <w:r w:rsidRPr="003B13ED">
        <w:rPr>
          <w:rStyle w:val="21"/>
          <w:color w:val="000000"/>
          <w:sz w:val="28"/>
          <w:szCs w:val="28"/>
        </w:rPr>
        <w:t>-правовое исследование.</w:t>
      </w:r>
    </w:p>
    <w:p w14:paraId="79E6BB15" w14:textId="77777777" w:rsidR="008A1A8A" w:rsidRPr="003B13ED" w:rsidRDefault="008A1A8A" w:rsidP="008A1A8A">
      <w:pPr>
        <w:pStyle w:val="22"/>
        <w:numPr>
          <w:ilvl w:val="0"/>
          <w:numId w:val="12"/>
        </w:numPr>
        <w:shd w:val="clear" w:color="auto" w:fill="auto"/>
        <w:tabs>
          <w:tab w:val="clear" w:pos="360"/>
          <w:tab w:val="left" w:pos="709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B13ED">
        <w:rPr>
          <w:rStyle w:val="21"/>
          <w:color w:val="000000"/>
          <w:sz w:val="28"/>
          <w:szCs w:val="28"/>
        </w:rPr>
        <w:t>Конституционная реформа в России.</w:t>
      </w:r>
    </w:p>
    <w:p w14:paraId="23A40EEA" w14:textId="77777777" w:rsidR="008A1A8A" w:rsidRPr="003B13ED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разделения властей в </w:t>
      </w:r>
      <w:r w:rsidRPr="003B13ED">
        <w:rPr>
          <w:sz w:val="28"/>
          <w:szCs w:val="28"/>
        </w:rPr>
        <w:t>Конституци</w:t>
      </w:r>
      <w:r>
        <w:rPr>
          <w:sz w:val="28"/>
          <w:szCs w:val="28"/>
        </w:rPr>
        <w:t>и</w:t>
      </w:r>
      <w:r w:rsidRPr="003B13ED">
        <w:rPr>
          <w:sz w:val="28"/>
          <w:szCs w:val="28"/>
        </w:rPr>
        <w:t xml:space="preserve"> РФ</w:t>
      </w:r>
      <w:r>
        <w:rPr>
          <w:sz w:val="28"/>
          <w:szCs w:val="28"/>
        </w:rPr>
        <w:t>: проблемы интерпретации.</w:t>
      </w:r>
      <w:r w:rsidRPr="003B13ED">
        <w:rPr>
          <w:sz w:val="28"/>
          <w:szCs w:val="28"/>
        </w:rPr>
        <w:t xml:space="preserve"> </w:t>
      </w:r>
    </w:p>
    <w:p w14:paraId="67DCEB44" w14:textId="77777777" w:rsidR="008A1A8A" w:rsidRPr="003B13ED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B13ED">
        <w:rPr>
          <w:sz w:val="28"/>
          <w:szCs w:val="28"/>
        </w:rPr>
        <w:t>Значение Саратовского проекта Конституции РФ в принятии действующей конституции и науке конституционного права.</w:t>
      </w:r>
    </w:p>
    <w:p w14:paraId="213A7BC0" w14:textId="77777777" w:rsidR="008A1A8A" w:rsidRPr="003B13ED" w:rsidRDefault="008A1A8A" w:rsidP="008A1A8A">
      <w:pPr>
        <w:pStyle w:val="-1"/>
        <w:numPr>
          <w:ilvl w:val="0"/>
          <w:numId w:val="12"/>
        </w:numPr>
        <w:tabs>
          <w:tab w:val="clear" w:pos="360"/>
          <w:tab w:val="left" w:pos="540"/>
          <w:tab w:val="left" w:pos="567"/>
          <w:tab w:val="left" w:pos="709"/>
        </w:tabs>
        <w:spacing w:line="240" w:lineRule="auto"/>
        <w:ind w:left="0" w:firstLine="0"/>
      </w:pPr>
      <w:r w:rsidRPr="003B13ED">
        <w:t>Выборы и референдум по Конституции РФ ка</w:t>
      </w:r>
      <w:r>
        <w:t>к равнозначные формы демократии</w:t>
      </w:r>
      <w:r w:rsidRPr="003B13ED">
        <w:t>.</w:t>
      </w:r>
    </w:p>
    <w:p w14:paraId="5BAA4BBE" w14:textId="77777777" w:rsidR="008A1A8A" w:rsidRPr="003B13ED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54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России</w:t>
      </w:r>
      <w:r w:rsidRPr="003B13ED">
        <w:rPr>
          <w:sz w:val="28"/>
          <w:szCs w:val="28"/>
        </w:rPr>
        <w:t xml:space="preserve"> и решения межгосударственных органов по правам человека: проблемы </w:t>
      </w:r>
      <w:r>
        <w:rPr>
          <w:sz w:val="28"/>
          <w:szCs w:val="28"/>
        </w:rPr>
        <w:t>имплементации</w:t>
      </w:r>
      <w:r w:rsidRPr="003B13ED">
        <w:rPr>
          <w:sz w:val="28"/>
          <w:szCs w:val="28"/>
        </w:rPr>
        <w:t>.</w:t>
      </w:r>
    </w:p>
    <w:p w14:paraId="2F288D71" w14:textId="77777777" w:rsidR="008A1A8A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54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B13ED">
        <w:rPr>
          <w:sz w:val="28"/>
          <w:szCs w:val="28"/>
        </w:rPr>
        <w:t>Проблемы развития конституционной социологии на современном этапе.</w:t>
      </w:r>
    </w:p>
    <w:p w14:paraId="41C70496" w14:textId="77777777" w:rsidR="008A1A8A" w:rsidRPr="00570886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54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Конституционная экономика в России.</w:t>
      </w:r>
    </w:p>
    <w:p w14:paraId="0B07D4D9" w14:textId="77777777" w:rsidR="008A1A8A" w:rsidRPr="0019052B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54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России</w:t>
      </w:r>
      <w:r w:rsidRPr="0019052B">
        <w:rPr>
          <w:sz w:val="28"/>
          <w:szCs w:val="28"/>
        </w:rPr>
        <w:t xml:space="preserve"> и новые права человека: проблемы охраны и защиты.</w:t>
      </w:r>
    </w:p>
    <w:p w14:paraId="467D40F4" w14:textId="77777777" w:rsidR="008A1A8A" w:rsidRPr="0019052B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54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9052B">
        <w:rPr>
          <w:sz w:val="28"/>
          <w:szCs w:val="28"/>
        </w:rPr>
        <w:t>Конституция РФ и информационная безопасность личности.</w:t>
      </w:r>
    </w:p>
    <w:p w14:paraId="4E31AC5A" w14:textId="77777777" w:rsidR="008A1A8A" w:rsidRPr="0019052B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 w:rsidRPr="0019052B">
        <w:rPr>
          <w:sz w:val="28"/>
          <w:szCs w:val="28"/>
        </w:rPr>
        <w:t>Роль прокуратуры и конституционных (уставных) судов субъектов по обеспечению конституционности правовых актов органов местного самоуправления устав</w:t>
      </w:r>
      <w:r>
        <w:rPr>
          <w:sz w:val="28"/>
          <w:szCs w:val="28"/>
        </w:rPr>
        <w:t>ам субъектов</w:t>
      </w:r>
      <w:r w:rsidRPr="0019052B">
        <w:rPr>
          <w:sz w:val="28"/>
          <w:szCs w:val="28"/>
        </w:rPr>
        <w:t>.</w:t>
      </w:r>
    </w:p>
    <w:p w14:paraId="62ADDF1F" w14:textId="77777777" w:rsidR="008A1A8A" w:rsidRPr="00EA64A0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 w:rsidRPr="0019052B">
        <w:rPr>
          <w:sz w:val="28"/>
          <w:szCs w:val="28"/>
        </w:rPr>
        <w:t>Конституционное право на личную неприкосновенность</w:t>
      </w:r>
      <w:r>
        <w:rPr>
          <w:sz w:val="28"/>
          <w:szCs w:val="28"/>
        </w:rPr>
        <w:t>: реализация и защита.</w:t>
      </w:r>
      <w:r w:rsidRPr="0019052B">
        <w:rPr>
          <w:i/>
          <w:sz w:val="28"/>
          <w:szCs w:val="28"/>
        </w:rPr>
        <w:t xml:space="preserve"> </w:t>
      </w:r>
    </w:p>
    <w:p w14:paraId="43558DB7" w14:textId="77777777" w:rsidR="008A1A8A" w:rsidRPr="00EA64A0" w:rsidRDefault="008A1A8A" w:rsidP="008A1A8A">
      <w:pPr>
        <w:pStyle w:val="p79"/>
        <w:numPr>
          <w:ilvl w:val="0"/>
          <w:numId w:val="12"/>
        </w:numPr>
        <w:shd w:val="clear" w:color="auto" w:fill="FFFFFF"/>
        <w:tabs>
          <w:tab w:val="clear" w:pos="360"/>
          <w:tab w:val="left" w:pos="709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A64A0">
        <w:rPr>
          <w:sz w:val="28"/>
          <w:szCs w:val="28"/>
        </w:rPr>
        <w:t>Перспективы развития института уполномоченного по правам народов в субъектах РФ</w:t>
      </w:r>
      <w:r w:rsidRPr="00EA64A0">
        <w:rPr>
          <w:rStyle w:val="s18"/>
          <w:bCs/>
          <w:iCs/>
          <w:color w:val="000000"/>
          <w:sz w:val="28"/>
          <w:szCs w:val="28"/>
        </w:rPr>
        <w:t>.</w:t>
      </w:r>
    </w:p>
    <w:p w14:paraId="442A7D12" w14:textId="77777777" w:rsidR="008A1A8A" w:rsidRPr="00942DF6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709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42DF6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 xml:space="preserve">создания и функционирования </w:t>
      </w:r>
      <w:r w:rsidRPr="00942DF6">
        <w:rPr>
          <w:sz w:val="28"/>
          <w:szCs w:val="28"/>
        </w:rPr>
        <w:t>кассационных и апелляционных судов общей юрисдикции.</w:t>
      </w:r>
    </w:p>
    <w:p w14:paraId="2D0D0258" w14:textId="77777777" w:rsidR="008A1A8A" w:rsidRPr="003B13ED" w:rsidRDefault="008A1A8A" w:rsidP="008A1A8A">
      <w:pPr>
        <w:pStyle w:val="-1"/>
        <w:numPr>
          <w:ilvl w:val="0"/>
          <w:numId w:val="12"/>
        </w:numPr>
        <w:tabs>
          <w:tab w:val="clear" w:pos="360"/>
          <w:tab w:val="left" w:pos="540"/>
          <w:tab w:val="left" w:pos="567"/>
          <w:tab w:val="left" w:pos="709"/>
        </w:tabs>
        <w:spacing w:line="240" w:lineRule="auto"/>
        <w:ind w:left="0" w:firstLine="0"/>
      </w:pPr>
      <w:r w:rsidRPr="0019052B">
        <w:t>Россия-Крым-Севастополь: проблемы интеграции на современном</w:t>
      </w:r>
      <w:r w:rsidRPr="003B13ED">
        <w:t xml:space="preserve"> этапе. </w:t>
      </w:r>
    </w:p>
    <w:p w14:paraId="671FA589" w14:textId="77777777" w:rsidR="008A1A8A" w:rsidRPr="003B13ED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54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</w:t>
      </w:r>
      <w:r w:rsidRPr="003B13ED">
        <w:rPr>
          <w:sz w:val="28"/>
          <w:szCs w:val="28"/>
        </w:rPr>
        <w:t xml:space="preserve"> способы борьбы с правовым нигилизмом и абсентеизмом.</w:t>
      </w:r>
    </w:p>
    <w:p w14:paraId="441E621E" w14:textId="77777777" w:rsidR="008A1A8A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54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B13ED">
        <w:rPr>
          <w:sz w:val="28"/>
          <w:szCs w:val="28"/>
        </w:rPr>
        <w:t>Проблемы реализации прямого избирательного права на современном этапе</w:t>
      </w:r>
      <w:r>
        <w:rPr>
          <w:sz w:val="28"/>
          <w:szCs w:val="28"/>
        </w:rPr>
        <w:t xml:space="preserve"> в контексте</w:t>
      </w:r>
      <w:r w:rsidRPr="003B13ED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 xml:space="preserve">ого </w:t>
      </w:r>
      <w:r w:rsidRPr="003B13ED">
        <w:rPr>
          <w:sz w:val="28"/>
          <w:szCs w:val="28"/>
        </w:rPr>
        <w:t>голосования.</w:t>
      </w:r>
    </w:p>
    <w:p w14:paraId="5CA70192" w14:textId="77777777" w:rsidR="008A1A8A" w:rsidRPr="003B13ED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110C6">
        <w:rPr>
          <w:sz w:val="28"/>
          <w:szCs w:val="28"/>
        </w:rPr>
        <w:t xml:space="preserve">Правовые позиции Европейского Суда по правам человека по проблемам права на свободные выборы в РФ. </w:t>
      </w:r>
    </w:p>
    <w:p w14:paraId="0DF434BB" w14:textId="77777777" w:rsidR="008A1A8A" w:rsidRPr="009110C6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110C6">
        <w:rPr>
          <w:sz w:val="28"/>
          <w:szCs w:val="28"/>
        </w:rPr>
        <w:t>Конституционный принцип равенства общественных объединений  в системе народовластия.</w:t>
      </w:r>
    </w:p>
    <w:p w14:paraId="6C97929E" w14:textId="77777777" w:rsidR="008A1A8A" w:rsidRPr="009110C6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10C6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9110C6">
        <w:rPr>
          <w:sz w:val="28"/>
          <w:szCs w:val="28"/>
        </w:rPr>
        <w:t xml:space="preserve"> правовых гарантий общественного контроля в РФ.</w:t>
      </w:r>
    </w:p>
    <w:p w14:paraId="0DE0A971" w14:textId="77777777" w:rsidR="008A1A8A" w:rsidRPr="009110C6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110C6">
        <w:rPr>
          <w:sz w:val="28"/>
          <w:szCs w:val="28"/>
          <w:bdr w:val="none" w:sz="0" w:space="0" w:color="auto" w:frame="1"/>
        </w:rPr>
        <w:t>Проблемные вопросы повышения активности участия граждан в реализации народной правотворческой инициативы.</w:t>
      </w:r>
    </w:p>
    <w:p w14:paraId="7ED11935" w14:textId="77777777" w:rsidR="008A1A8A" w:rsidRPr="009110C6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 w:rsidRPr="009110C6">
        <w:rPr>
          <w:sz w:val="28"/>
          <w:szCs w:val="28"/>
        </w:rPr>
        <w:t>Публичные интересы как форма выражения защиты основ конституционного строя прокуратурой РФ</w:t>
      </w:r>
      <w:r>
        <w:rPr>
          <w:sz w:val="28"/>
          <w:szCs w:val="28"/>
        </w:rPr>
        <w:t>.</w:t>
      </w:r>
    </w:p>
    <w:p w14:paraId="36C0F932" w14:textId="77777777" w:rsidR="008A1A8A" w:rsidRPr="009110C6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 w:rsidRPr="009110C6">
        <w:rPr>
          <w:sz w:val="28"/>
          <w:szCs w:val="28"/>
        </w:rPr>
        <w:t>Роль прокуратуры в блокировании Интернет-контента экстремисткой направленности и информации, причиняющей вред здоровью и психике детей.</w:t>
      </w:r>
    </w:p>
    <w:p w14:paraId="2424BF38" w14:textId="77777777" w:rsidR="008A1A8A" w:rsidRPr="00FE02E3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 w:rsidRPr="00FE02E3">
        <w:rPr>
          <w:sz w:val="28"/>
          <w:szCs w:val="28"/>
        </w:rPr>
        <w:lastRenderedPageBreak/>
        <w:t xml:space="preserve">Прокурор – </w:t>
      </w:r>
      <w:r>
        <w:rPr>
          <w:sz w:val="28"/>
          <w:szCs w:val="28"/>
        </w:rPr>
        <w:t>государственный</w:t>
      </w:r>
      <w:r w:rsidRPr="00FE02E3">
        <w:rPr>
          <w:sz w:val="28"/>
          <w:szCs w:val="28"/>
        </w:rPr>
        <w:t xml:space="preserve"> защитник конституционных прав граждан.</w:t>
      </w:r>
    </w:p>
    <w:p w14:paraId="30C888D5" w14:textId="77777777" w:rsidR="008A1A8A" w:rsidRPr="00FE02E3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 w:rsidRPr="00FE02E3">
        <w:rPr>
          <w:sz w:val="28"/>
          <w:szCs w:val="28"/>
        </w:rPr>
        <w:t>Протест прокурора как средство по обеспечению конституционности актов судов</w:t>
      </w:r>
      <w:r>
        <w:rPr>
          <w:sz w:val="28"/>
          <w:szCs w:val="28"/>
        </w:rPr>
        <w:t>.</w:t>
      </w:r>
    </w:p>
    <w:p w14:paraId="183623C8" w14:textId="77777777" w:rsidR="008A1A8A" w:rsidRPr="009110C6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110C6">
        <w:rPr>
          <w:sz w:val="28"/>
          <w:szCs w:val="28"/>
        </w:rPr>
        <w:t>Конституционное право на жизнь и право на благоприятную окружающую среду (сравнительно-правовой анализ).</w:t>
      </w:r>
    </w:p>
    <w:p w14:paraId="70075F4F" w14:textId="77777777" w:rsidR="008A1A8A" w:rsidRPr="009110C6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110C6">
        <w:rPr>
          <w:sz w:val="28"/>
          <w:szCs w:val="28"/>
        </w:rPr>
        <w:t xml:space="preserve">Доступ к информации о деятельности государственных органов. </w:t>
      </w:r>
    </w:p>
    <w:p w14:paraId="65E0479E" w14:textId="77777777" w:rsidR="008A1A8A" w:rsidRPr="009110C6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 w:rsidRPr="009110C6">
        <w:rPr>
          <w:sz w:val="28"/>
          <w:szCs w:val="28"/>
        </w:rPr>
        <w:t xml:space="preserve">Практика рассмотрения дел прокуратурой  о нарушении конституционного права на обращение. </w:t>
      </w:r>
    </w:p>
    <w:p w14:paraId="68286438" w14:textId="77777777" w:rsidR="008A1A8A" w:rsidRPr="009110C6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Защита органами прокуратуры </w:t>
      </w:r>
      <w:r w:rsidRPr="009110C6">
        <w:rPr>
          <w:sz w:val="28"/>
          <w:szCs w:val="28"/>
        </w:rPr>
        <w:t>избирательных прав граждан.</w:t>
      </w:r>
    </w:p>
    <w:p w14:paraId="7099A0CB" w14:textId="77777777" w:rsidR="008A1A8A" w:rsidRPr="009110C6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110C6">
        <w:rPr>
          <w:sz w:val="28"/>
          <w:szCs w:val="28"/>
        </w:rPr>
        <w:t>Проблемы реализации социальных прав и свобод человека и гражданина в Российской Федерации.</w:t>
      </w:r>
    </w:p>
    <w:p w14:paraId="50BA6D87" w14:textId="77777777" w:rsidR="008A1A8A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709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E3454">
        <w:rPr>
          <w:sz w:val="28"/>
          <w:szCs w:val="28"/>
        </w:rPr>
        <w:t>Пра</w:t>
      </w:r>
      <w:r>
        <w:rPr>
          <w:sz w:val="28"/>
          <w:szCs w:val="28"/>
        </w:rPr>
        <w:t>во на свободу выражения мнения,</w:t>
      </w:r>
      <w:r w:rsidRPr="006E3454">
        <w:rPr>
          <w:sz w:val="28"/>
          <w:szCs w:val="28"/>
        </w:rPr>
        <w:t xml:space="preserve"> свободу совести и религии: </w:t>
      </w:r>
      <w:r>
        <w:rPr>
          <w:sz w:val="28"/>
          <w:szCs w:val="28"/>
        </w:rPr>
        <w:t>общее и особенное  в нормативном содержании.</w:t>
      </w:r>
    </w:p>
    <w:p w14:paraId="1B08AF88" w14:textId="77777777" w:rsidR="008A1A8A" w:rsidRPr="001A7871" w:rsidRDefault="008A1A8A" w:rsidP="008A1A8A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left" w:pos="540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1A7871">
        <w:rPr>
          <w:sz w:val="28"/>
          <w:szCs w:val="28"/>
        </w:rPr>
        <w:t>Проблемы защиты государственного суверенитета РФ.</w:t>
      </w:r>
    </w:p>
    <w:p w14:paraId="3742C5EE" w14:textId="77777777" w:rsidR="008A1A8A" w:rsidRPr="001A7871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 w:rsidRPr="001A7871">
        <w:rPr>
          <w:sz w:val="28"/>
          <w:szCs w:val="28"/>
        </w:rPr>
        <w:t xml:space="preserve"> Конституционные основы судебной системы в РФ.</w:t>
      </w:r>
    </w:p>
    <w:p w14:paraId="17B006EB" w14:textId="77777777" w:rsidR="008A1A8A" w:rsidRPr="001A7871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 w:rsidRPr="001A7871">
        <w:rPr>
          <w:sz w:val="28"/>
          <w:szCs w:val="28"/>
        </w:rPr>
        <w:t>Конституционный Суд РФ как гарант прав человека и гражданина.</w:t>
      </w:r>
    </w:p>
    <w:p w14:paraId="57061579" w14:textId="77777777" w:rsidR="008A1A8A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 w:rsidRPr="001A7871">
        <w:rPr>
          <w:sz w:val="28"/>
          <w:szCs w:val="28"/>
        </w:rPr>
        <w:t xml:space="preserve"> Институт гражданства</w:t>
      </w:r>
      <w:r>
        <w:rPr>
          <w:sz w:val="28"/>
          <w:szCs w:val="28"/>
        </w:rPr>
        <w:t xml:space="preserve"> в РФ.</w:t>
      </w:r>
    </w:p>
    <w:p w14:paraId="1F72B453" w14:textId="77777777" w:rsidR="008A1A8A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Президент России как гарант прав и свобод человека и гражданина.</w:t>
      </w:r>
    </w:p>
    <w:p w14:paraId="0E7CA72D" w14:textId="77777777" w:rsidR="008A1A8A" w:rsidRDefault="008A1A8A" w:rsidP="008A1A8A">
      <w:pPr>
        <w:pStyle w:val="a9"/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Роль Правительства РФ в реализации национальных проектов. </w:t>
      </w:r>
    </w:p>
    <w:p w14:paraId="5F2626B6" w14:textId="77777777" w:rsidR="008A1A8A" w:rsidRPr="00A54F3D" w:rsidRDefault="008A1A8A" w:rsidP="008A1A8A">
      <w:pPr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A54F3D">
        <w:rPr>
          <w:sz w:val="28"/>
          <w:szCs w:val="28"/>
        </w:rPr>
        <w:t xml:space="preserve"> Применение правовых позиций Конституционного Суда РФ судами общей юрисдикции. </w:t>
      </w:r>
    </w:p>
    <w:p w14:paraId="55A80B41" w14:textId="77777777" w:rsidR="008A1A8A" w:rsidRPr="00A54F3D" w:rsidRDefault="008A1A8A" w:rsidP="008A1A8A">
      <w:pPr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A54F3D">
        <w:rPr>
          <w:sz w:val="28"/>
          <w:szCs w:val="28"/>
        </w:rPr>
        <w:t xml:space="preserve"> Военные суды и военная прокуратура в конституционной системе власти.</w:t>
      </w:r>
    </w:p>
    <w:p w14:paraId="2AC48F1C" w14:textId="77777777" w:rsidR="008A1A8A" w:rsidRDefault="008A1A8A" w:rsidP="008A1A8A">
      <w:pPr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B23409">
        <w:t xml:space="preserve"> </w:t>
      </w:r>
      <w:r w:rsidRPr="00B23409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социальных</w:t>
      </w:r>
      <w:r w:rsidRPr="00B23409">
        <w:rPr>
          <w:sz w:val="28"/>
          <w:szCs w:val="28"/>
        </w:rPr>
        <w:t xml:space="preserve"> прав органами прокуратуры.</w:t>
      </w:r>
    </w:p>
    <w:p w14:paraId="51B2FE7C" w14:textId="2C7205B5" w:rsidR="008A1A8A" w:rsidRDefault="008A1A8A" w:rsidP="008A1A8A">
      <w:pPr>
        <w:numPr>
          <w:ilvl w:val="0"/>
          <w:numId w:val="12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B23409">
        <w:rPr>
          <w:sz w:val="28"/>
          <w:szCs w:val="28"/>
        </w:rPr>
        <w:t xml:space="preserve"> Защита органами прокуратуры субъектов малого и среднего бизнеса.</w:t>
      </w:r>
    </w:p>
    <w:p w14:paraId="322FC4EC" w14:textId="77777777" w:rsidR="00844359" w:rsidRDefault="00844359" w:rsidP="00844359">
      <w:pPr>
        <w:pStyle w:val="0421043F04380441043E043A043B04380442043504400430044204430440044B"/>
        <w:widowControl/>
        <w:numPr>
          <w:ilvl w:val="0"/>
          <w:numId w:val="12"/>
        </w:numPr>
        <w:tabs>
          <w:tab w:val="left" w:pos="900"/>
          <w:tab w:val="left" w:pos="1134"/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конституционных (уставных) судов субъектов РФ.</w:t>
      </w:r>
    </w:p>
    <w:p w14:paraId="6DA267C0" w14:textId="77777777" w:rsidR="00844359" w:rsidRDefault="00844359" w:rsidP="00844359">
      <w:pPr>
        <w:pStyle w:val="0421043F04380441043E043A043B04380442043504400430044204430440044B"/>
        <w:widowControl/>
        <w:numPr>
          <w:ilvl w:val="0"/>
          <w:numId w:val="12"/>
        </w:numPr>
        <w:tabs>
          <w:tab w:val="left" w:pos="900"/>
          <w:tab w:val="left" w:pos="1134"/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Суды субъектов РФ: общая характеристика, конституционно-правовая основа.</w:t>
      </w:r>
    </w:p>
    <w:p w14:paraId="0A731EAC" w14:textId="77777777" w:rsidR="00844359" w:rsidRDefault="00844359" w:rsidP="00844359">
      <w:pPr>
        <w:pStyle w:val="0421043F04380441043E043A043B04380442043504400430044204430440044B"/>
        <w:widowControl/>
        <w:numPr>
          <w:ilvl w:val="0"/>
          <w:numId w:val="12"/>
        </w:numPr>
        <w:tabs>
          <w:tab w:val="left" w:pos="900"/>
          <w:tab w:val="left" w:pos="1134"/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мировых судей.</w:t>
      </w:r>
    </w:p>
    <w:p w14:paraId="7D6C71F1" w14:textId="77777777" w:rsidR="00844359" w:rsidRDefault="00844359" w:rsidP="00844359">
      <w:pPr>
        <w:pStyle w:val="0421043F04380441043E043A043B04380442043504400430044204430440044B"/>
        <w:widowControl/>
        <w:numPr>
          <w:ilvl w:val="0"/>
          <w:numId w:val="12"/>
        </w:numPr>
        <w:tabs>
          <w:tab w:val="left" w:pos="900"/>
          <w:tab w:val="left" w:pos="1134"/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(уставные) суды субъектов РФ.</w:t>
      </w:r>
    </w:p>
    <w:p w14:paraId="2D51B23E" w14:textId="77777777" w:rsidR="00844359" w:rsidRPr="00B23409" w:rsidRDefault="00844359" w:rsidP="00844359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14:paraId="5AD9C8AA" w14:textId="77777777" w:rsidR="008A1A8A" w:rsidRPr="00A54F3D" w:rsidRDefault="008A1A8A" w:rsidP="008A1A8A">
      <w:pPr>
        <w:tabs>
          <w:tab w:val="left" w:pos="709"/>
        </w:tabs>
      </w:pPr>
    </w:p>
    <w:p w14:paraId="6FF417FE" w14:textId="77777777" w:rsidR="008A1A8A" w:rsidRPr="00A54F3D" w:rsidRDefault="008A1A8A" w:rsidP="008A1A8A">
      <w:pPr>
        <w:tabs>
          <w:tab w:val="left" w:pos="360"/>
          <w:tab w:val="left" w:pos="900"/>
        </w:tabs>
        <w:ind w:firstLine="72"/>
        <w:jc w:val="both"/>
        <w:rPr>
          <w:sz w:val="28"/>
          <w:szCs w:val="28"/>
        </w:rPr>
      </w:pPr>
    </w:p>
    <w:p w14:paraId="02495D3E" w14:textId="77777777" w:rsidR="008A1A8A" w:rsidRDefault="008A1A8A" w:rsidP="008A1A8A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14:paraId="538AD1A3" w14:textId="77777777" w:rsidR="008A1A8A" w:rsidRDefault="008A1A8A" w:rsidP="008A1A8A"/>
    <w:p w14:paraId="0F994A50" w14:textId="77777777" w:rsidR="00333B27" w:rsidRPr="008A1A8A" w:rsidRDefault="00333B27" w:rsidP="008A1A8A"/>
    <w:sectPr w:rsidR="00333B27" w:rsidRPr="008A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04D5" w14:textId="77777777" w:rsidR="00E365EE" w:rsidRDefault="00E365EE" w:rsidP="007B2775">
      <w:r>
        <w:separator/>
      </w:r>
    </w:p>
  </w:endnote>
  <w:endnote w:type="continuationSeparator" w:id="0">
    <w:p w14:paraId="7DF655CD" w14:textId="77777777" w:rsidR="00E365EE" w:rsidRDefault="00E365EE" w:rsidP="007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9DED" w14:textId="77777777" w:rsidR="00E365EE" w:rsidRDefault="00E365EE" w:rsidP="007B2775">
      <w:r>
        <w:separator/>
      </w:r>
    </w:p>
  </w:footnote>
  <w:footnote w:type="continuationSeparator" w:id="0">
    <w:p w14:paraId="721A65CD" w14:textId="77777777" w:rsidR="00E365EE" w:rsidRDefault="00E365EE" w:rsidP="007B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FCCD454"/>
    <w:lvl w:ilvl="0" w:tplc="4DF87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35144E"/>
    <w:multiLevelType w:val="hybridMultilevel"/>
    <w:tmpl w:val="F84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21E"/>
    <w:multiLevelType w:val="hybridMultilevel"/>
    <w:tmpl w:val="88ACC8FC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C52E6"/>
    <w:multiLevelType w:val="hybridMultilevel"/>
    <w:tmpl w:val="0E88B87C"/>
    <w:lvl w:ilvl="0" w:tplc="0038BE6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D6E3D"/>
    <w:multiLevelType w:val="hybridMultilevel"/>
    <w:tmpl w:val="D474ED80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C9C0DB1"/>
    <w:multiLevelType w:val="hybridMultilevel"/>
    <w:tmpl w:val="075461B4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FA34872"/>
    <w:multiLevelType w:val="hybridMultilevel"/>
    <w:tmpl w:val="07D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C0D20"/>
    <w:multiLevelType w:val="hybridMultilevel"/>
    <w:tmpl w:val="88523844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21BF4"/>
    <w:multiLevelType w:val="hybridMultilevel"/>
    <w:tmpl w:val="17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A3383"/>
    <w:multiLevelType w:val="hybridMultilevel"/>
    <w:tmpl w:val="C9DC8092"/>
    <w:lvl w:ilvl="0" w:tplc="B9EE6E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77DB8"/>
    <w:multiLevelType w:val="hybridMultilevel"/>
    <w:tmpl w:val="829CFFA0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C366A"/>
    <w:multiLevelType w:val="hybridMultilevel"/>
    <w:tmpl w:val="9FDE8A74"/>
    <w:lvl w:ilvl="0" w:tplc="01F439B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D3"/>
    <w:rsid w:val="00035073"/>
    <w:rsid w:val="00036FE3"/>
    <w:rsid w:val="00092042"/>
    <w:rsid w:val="000A09D3"/>
    <w:rsid w:val="000B421F"/>
    <w:rsid w:val="000E6BFA"/>
    <w:rsid w:val="001C7181"/>
    <w:rsid w:val="00230E19"/>
    <w:rsid w:val="00236B04"/>
    <w:rsid w:val="00240BFA"/>
    <w:rsid w:val="002D6595"/>
    <w:rsid w:val="00303CD7"/>
    <w:rsid w:val="00333B27"/>
    <w:rsid w:val="0041295E"/>
    <w:rsid w:val="00440618"/>
    <w:rsid w:val="0050568D"/>
    <w:rsid w:val="005278D1"/>
    <w:rsid w:val="005A3BEE"/>
    <w:rsid w:val="005F4341"/>
    <w:rsid w:val="006063B8"/>
    <w:rsid w:val="007121FA"/>
    <w:rsid w:val="0075213C"/>
    <w:rsid w:val="00773978"/>
    <w:rsid w:val="007B2775"/>
    <w:rsid w:val="007E05EC"/>
    <w:rsid w:val="007E2057"/>
    <w:rsid w:val="008126AA"/>
    <w:rsid w:val="00815654"/>
    <w:rsid w:val="0083155A"/>
    <w:rsid w:val="00844359"/>
    <w:rsid w:val="0089207B"/>
    <w:rsid w:val="008A1A8A"/>
    <w:rsid w:val="008E6520"/>
    <w:rsid w:val="008F3267"/>
    <w:rsid w:val="009D7E79"/>
    <w:rsid w:val="00A12E0D"/>
    <w:rsid w:val="00A31B6E"/>
    <w:rsid w:val="00A8526E"/>
    <w:rsid w:val="00A91A56"/>
    <w:rsid w:val="00AF79DA"/>
    <w:rsid w:val="00B05463"/>
    <w:rsid w:val="00B350FD"/>
    <w:rsid w:val="00B43E1B"/>
    <w:rsid w:val="00B449B5"/>
    <w:rsid w:val="00BE2B66"/>
    <w:rsid w:val="00C410DE"/>
    <w:rsid w:val="00D0722D"/>
    <w:rsid w:val="00E3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7AF5"/>
  <w15:docId w15:val="{2357F351-2B43-4B64-8C5F-8E0F1D9C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6BFA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BF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6BF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E6BFA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4">
    <w:name w:val="&lt;0417&gt;&lt;0430&gt;&lt;0433&gt;&lt;043E&gt;&lt;043B&gt;&lt;043E&gt;&lt;0432&gt;&lt;043E&gt;&lt;043A&gt;_4"/>
    <w:basedOn w:val="a"/>
    <w:rsid w:val="000E6BFA"/>
    <w:pPr>
      <w:keepNext/>
      <w:widowControl w:val="0"/>
      <w:suppressAutoHyphens/>
      <w:spacing w:before="170" w:after="113" w:line="288" w:lineRule="auto"/>
      <w:jc w:val="center"/>
    </w:pPr>
    <w:rPr>
      <w:rFonts w:ascii="KudrashovC" w:hAnsi="KudrashovC" w:cs="KudrashovC"/>
      <w:b/>
      <w:bCs/>
      <w:color w:val="00000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91A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A1A8A"/>
    <w:rPr>
      <w:sz w:val="88"/>
      <w:szCs w:val="8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1A8A"/>
    <w:pPr>
      <w:widowControl w:val="0"/>
      <w:shd w:val="clear" w:color="auto" w:fill="FFFFFF"/>
      <w:autoSpaceDE w:val="0"/>
      <w:autoSpaceDN w:val="0"/>
      <w:adjustRightInd w:val="0"/>
      <w:spacing w:line="240" w:lineRule="atLeast"/>
      <w:ind w:hanging="1060"/>
    </w:pPr>
    <w:rPr>
      <w:rFonts w:asciiTheme="minorHAnsi" w:eastAsiaTheme="minorHAnsi" w:hAnsiTheme="minorHAnsi" w:cstheme="minorBidi"/>
      <w:sz w:val="88"/>
      <w:szCs w:val="88"/>
      <w:lang w:eastAsia="en-US"/>
    </w:rPr>
  </w:style>
  <w:style w:type="paragraph" w:customStyle="1" w:styleId="-1">
    <w:name w:val="Т-1"/>
    <w:aliases w:val="5,текст14-1"/>
    <w:basedOn w:val="a"/>
    <w:rsid w:val="008A1A8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ody Text Indent"/>
    <w:basedOn w:val="a"/>
    <w:link w:val="aa"/>
    <w:rsid w:val="008A1A8A"/>
    <w:pPr>
      <w:autoSpaceDE w:val="0"/>
      <w:autoSpaceDN w:val="0"/>
      <w:ind w:left="360" w:firstLine="360"/>
    </w:pPr>
  </w:style>
  <w:style w:type="character" w:customStyle="1" w:styleId="aa">
    <w:name w:val="Основной текст с отступом Знак"/>
    <w:basedOn w:val="a0"/>
    <w:link w:val="a9"/>
    <w:rsid w:val="008A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8A1A8A"/>
    <w:pPr>
      <w:widowControl w:val="0"/>
      <w:autoSpaceDE w:val="0"/>
      <w:autoSpaceDN w:val="0"/>
      <w:adjustRightInd w:val="0"/>
      <w:spacing w:before="100" w:beforeAutospacing="1" w:after="100" w:afterAutospacing="1"/>
    </w:pPr>
  </w:style>
  <w:style w:type="character" w:customStyle="1" w:styleId="s18">
    <w:name w:val="s18"/>
    <w:rsid w:val="008A1A8A"/>
    <w:rPr>
      <w:rFonts w:ascii="Times New Roman" w:eastAsia="Times New Roman" w:hAnsi="Times New Roman" w:cs="Times New Roman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844359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troiskaya@yandex.ru</cp:lastModifiedBy>
  <cp:revision>5</cp:revision>
  <dcterms:created xsi:type="dcterms:W3CDTF">2020-09-24T04:38:00Z</dcterms:created>
  <dcterms:modified xsi:type="dcterms:W3CDTF">2021-09-06T13:34:00Z</dcterms:modified>
</cp:coreProperties>
</file>